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5F" w:rsidRDefault="002D655F" w:rsidP="002D655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Тестовые задания не рецензируются, не оплачиваются и не используются в коммерческих целях. Правильные варианты переводов не предоставляются.</w:t>
      </w:r>
    </w:p>
    <w:p w:rsidR="002D655F" w:rsidRDefault="002D655F" w:rsidP="002D655F">
      <w:pPr>
        <w:rPr>
          <w:rFonts w:ascii="Arial" w:hAnsi="Arial"/>
          <w:b/>
          <w:color w:val="000000" w:themeColor="text1"/>
          <w:sz w:val="24"/>
          <w:szCs w:val="24"/>
          <w:u w:val="single"/>
        </w:rPr>
      </w:pPr>
    </w:p>
    <w:p w:rsidR="002D655F" w:rsidRDefault="002D655F" w:rsidP="002D655F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Тестовое задание на перевод с китайского на русский</w:t>
      </w:r>
    </w:p>
    <w:p w:rsidR="002D655F" w:rsidRDefault="002D655F" w:rsidP="002D655F">
      <w:pPr>
        <w:jc w:val="center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В готовом задании впишите вашу фамилию </w:t>
      </w:r>
      <w:r>
        <w:rPr>
          <w:b/>
          <w:color w:val="000000" w:themeColor="text1"/>
          <w:szCs w:val="24"/>
        </w:rPr>
        <w:t>перед названием</w:t>
      </w:r>
      <w:r>
        <w:rPr>
          <w:bCs/>
          <w:color w:val="000000" w:themeColor="text1"/>
          <w:szCs w:val="24"/>
        </w:rPr>
        <w:t xml:space="preserve"> теста.</w:t>
      </w:r>
      <w:bookmarkStart w:id="0" w:name="_GoBack"/>
      <w:bookmarkEnd w:id="0"/>
    </w:p>
    <w:p w:rsidR="002D655F" w:rsidRDefault="002D655F" w:rsidP="002D655F">
      <w:pPr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655F" w:rsidTr="00283D58">
        <w:tc>
          <w:tcPr>
            <w:tcW w:w="4672" w:type="dxa"/>
          </w:tcPr>
          <w:p w:rsidR="002D655F" w:rsidRPr="002D655F" w:rsidRDefault="002D655F" w:rsidP="00283D58">
            <w:pPr>
              <w:rPr>
                <w:rFonts w:eastAsia="SimSun" w:cs="SimSun"/>
                <w:b/>
              </w:rPr>
            </w:pPr>
            <w:r w:rsidRPr="002D655F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4673" w:type="dxa"/>
          </w:tcPr>
          <w:p w:rsidR="002D655F" w:rsidRPr="002D655F" w:rsidRDefault="002D655F" w:rsidP="002D65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55F">
              <w:rPr>
                <w:rFonts w:ascii="Times New Roman" w:hAnsi="Times New Roman"/>
                <w:b/>
                <w:sz w:val="24"/>
                <w:szCs w:val="24"/>
              </w:rPr>
              <w:t>Перевод</w:t>
            </w:r>
          </w:p>
        </w:tc>
      </w:tr>
      <w:tr w:rsidR="002D655F" w:rsidTr="00283D58">
        <w:tc>
          <w:tcPr>
            <w:tcW w:w="4672" w:type="dxa"/>
          </w:tcPr>
          <w:p w:rsidR="002D655F" w:rsidRDefault="002D655F" w:rsidP="00283D58">
            <w:proofErr w:type="spellStart"/>
            <w:r>
              <w:rPr>
                <w:rFonts w:ascii="SimSun" w:eastAsia="SimSun" w:hAnsi="SimSun" w:cs="SimSun" w:hint="eastAsia"/>
              </w:rPr>
              <w:t>别列佐夫斯基电厂</w:t>
            </w:r>
            <w:proofErr w:type="spellEnd"/>
            <w:r>
              <w:rPr>
                <w:rFonts w:ascii="SimSun" w:eastAsia="SimSun" w:hAnsi="SimSun" w:cs="SimSun" w:hint="eastAsia"/>
              </w:rPr>
              <w:t>3</w:t>
            </w:r>
            <w:proofErr w:type="spellStart"/>
            <w:r>
              <w:rPr>
                <w:rFonts w:ascii="SimSun" w:eastAsia="SimSun" w:hAnsi="SimSun" w:cs="SimSun" w:hint="eastAsia"/>
              </w:rPr>
              <w:t>号机组</w:t>
            </w:r>
            <w:proofErr w:type="spellEnd"/>
            <w:r>
              <w:rPr>
                <w:rFonts w:ascii="SimSun" w:eastAsia="SimSun" w:hAnsi="SimSun" w:cs="SimSun" w:hint="eastAsia"/>
              </w:rPr>
              <w:t>2015年</w:t>
            </w:r>
            <w:r>
              <w:rPr>
                <w:rFonts w:ascii="SimSun" w:eastAsia="SimSun" w:hAnsi="SimSun" w:cs="SimSun" w:hint="eastAsia"/>
                <w:lang w:eastAsia="zh-CN"/>
              </w:rPr>
              <w:t>投运，</w:t>
            </w:r>
            <w:r w:rsidRPr="002D655F">
              <w:rPr>
                <w:rFonts w:ascii="SimSun" w:eastAsia="SimSun" w:hAnsi="SimSun" w:cs="SimSun" w:hint="eastAsia"/>
                <w:lang w:eastAsia="zh-CN"/>
              </w:rPr>
              <w:t>800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MW机组</w:t>
            </w:r>
            <w:proofErr w:type="spellStart"/>
            <w:r>
              <w:rPr>
                <w:rFonts w:ascii="SimSun" w:eastAsia="SimSun" w:hAnsi="SimSun" w:cs="SimSun" w:hint="eastAsia"/>
              </w:rPr>
              <w:t>配套超临界直流锅炉</w:t>
            </w:r>
            <w:proofErr w:type="spellEnd"/>
            <w:r>
              <w:rPr>
                <w:rFonts w:ascii="SimSun" w:eastAsia="SimSun" w:hAnsi="SimSun" w:cs="SimSun" w:hint="eastAsia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锅炉最大连续蒸发量</w:t>
            </w:r>
            <w:r w:rsidRPr="002D655F">
              <w:rPr>
                <w:rFonts w:ascii="SimSun" w:eastAsia="SimSun" w:hAnsi="SimSun" w:cs="SimSun" w:hint="eastAsia"/>
                <w:lang w:eastAsia="zh-CN"/>
              </w:rPr>
              <w:t>2650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t</w:t>
            </w:r>
            <w:r w:rsidRPr="002D655F">
              <w:rPr>
                <w:rFonts w:ascii="SimSun" w:eastAsia="SimSun" w:hAnsi="SimSun" w:cs="SimSun" w:hint="eastAsia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h</w:t>
            </w:r>
            <w:r>
              <w:rPr>
                <w:rFonts w:ascii="SimSun" w:eastAsia="SimSun" w:hAnsi="SimSun" w:cs="SimSun" w:hint="eastAsia"/>
              </w:rPr>
              <w:t>。锅炉采用风扇磨直吹式制粉系统</w:t>
            </w:r>
            <w:r w:rsidRPr="00AE6549">
              <w:rPr>
                <w:rFonts w:ascii="SimSun" w:eastAsia="SimSun" w:hAnsi="SimSun" w:cs="SimSun" w:hint="eastAsia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</w:rPr>
              <w:t>燃烧器八角布置切向燃烧。配备八台</w:t>
            </w:r>
            <w:r w:rsidRPr="00AE6549">
              <w:rPr>
                <w:rFonts w:ascii="SimSun" w:eastAsia="SimSun" w:hAnsi="SimSun" w:cs="SimSun" w:hint="eastAsia"/>
                <w:lang w:val="en-US"/>
              </w:rPr>
              <w:t>MB-3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3</w:t>
            </w:r>
            <w:r w:rsidRPr="00AE6549">
              <w:rPr>
                <w:rFonts w:ascii="SimSun" w:eastAsia="SimSun" w:hAnsi="SimSun" w:cs="SimSun" w:hint="eastAsia"/>
                <w:lang w:val="en-US"/>
              </w:rPr>
              <w:t>00/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8</w:t>
            </w:r>
            <w:r w:rsidRPr="00AE6549">
              <w:rPr>
                <w:rFonts w:ascii="SimSun" w:eastAsia="SimSun" w:hAnsi="SimSun" w:cs="SimSun" w:hint="eastAsia"/>
                <w:lang w:val="en-US"/>
              </w:rPr>
              <w:t>00/490</w:t>
            </w:r>
            <w:proofErr w:type="spellStart"/>
            <w:r>
              <w:rPr>
                <w:rFonts w:ascii="SimSun" w:eastAsia="SimSun" w:hAnsi="SimSun" w:cs="SimSun" w:hint="eastAsia"/>
              </w:rPr>
              <w:t>风扇磨煤机</w:t>
            </w:r>
            <w:r w:rsidRPr="00AE6549">
              <w:rPr>
                <w:rFonts w:ascii="SimSun" w:eastAsia="SimSun" w:hAnsi="SimSun" w:cs="SimSun" w:hint="eastAsia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</w:rPr>
              <w:t>每台磨的出口粉管接同角的四个燃烧器喷口。燃烧器共设置</w:t>
            </w:r>
            <w:proofErr w:type="spellEnd"/>
            <w:r>
              <w:rPr>
                <w:rFonts w:ascii="SimSun" w:eastAsia="SimSun" w:hAnsi="SimSun" w:cs="SimSun" w:hint="eastAsia"/>
              </w:rPr>
              <w:t>4</w:t>
            </w:r>
            <w:proofErr w:type="spellStart"/>
            <w:r>
              <w:rPr>
                <w:rFonts w:ascii="SimSun" w:eastAsia="SimSun" w:hAnsi="SimSun" w:cs="SimSun" w:hint="eastAsia"/>
              </w:rPr>
              <w:t>层，共</w:t>
            </w:r>
            <w:proofErr w:type="spellEnd"/>
            <w:r>
              <w:rPr>
                <w:rFonts w:ascii="SimSun" w:eastAsia="SimSun" w:hAnsi="SimSun" w:cs="SimSun" w:hint="eastAsia"/>
              </w:rPr>
              <w:t>32</w:t>
            </w:r>
            <w:proofErr w:type="spellStart"/>
            <w:r>
              <w:rPr>
                <w:rFonts w:ascii="SimSun" w:eastAsia="SimSun" w:hAnsi="SimSun" w:cs="SimSun" w:hint="eastAsia"/>
              </w:rPr>
              <w:t>个喷口</w:t>
            </w:r>
            <w:proofErr w:type="spellEnd"/>
            <w:r>
              <w:rPr>
                <w:rFonts w:ascii="SimSun" w:eastAsia="SimSun" w:hAnsi="SimSun" w:cs="SimSun" w:hint="eastAsia"/>
              </w:rPr>
              <w:t>。</w:t>
            </w:r>
          </w:p>
        </w:tc>
        <w:tc>
          <w:tcPr>
            <w:tcW w:w="4673" w:type="dxa"/>
          </w:tcPr>
          <w:p w:rsidR="002D655F" w:rsidRPr="00AE6549" w:rsidRDefault="002D655F" w:rsidP="00283D5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55F" w:rsidTr="00283D58">
        <w:tc>
          <w:tcPr>
            <w:tcW w:w="4672" w:type="dxa"/>
          </w:tcPr>
          <w:p w:rsidR="002D655F" w:rsidRDefault="002D655F" w:rsidP="00283D58"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风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扇磨直吹式制粉燃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，受到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风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扇磨提升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压头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的限制，只能是一台磨煤机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对应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一角</w:t>
            </w:r>
            <w:r>
              <w:rPr>
                <w:rFonts w:ascii="SimSun" w:hAnsi="SimSun" w:cs="Arial" w:hint="eastAsia"/>
                <w:spacing w:val="10"/>
                <w:sz w:val="24"/>
              </w:rPr>
              <w:t>的燃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器。因此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hAnsi="SimSun" w:cs="Arial" w:hint="eastAsia"/>
                <w:spacing w:val="10"/>
                <w:sz w:val="24"/>
              </w:rPr>
              <w:t>微油点火只能将一台磨煤机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对应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的所有燃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器全部改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为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微油点火燃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器。本机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组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一台磨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对应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4</w:t>
            </w:r>
            <w:r>
              <w:rPr>
                <w:rFonts w:ascii="SimSun" w:hAnsi="SimSun" w:cs="Arial" w:hint="eastAsia"/>
                <w:spacing w:val="10"/>
                <w:sz w:val="24"/>
              </w:rPr>
              <w:t>只燃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器。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为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了不造成启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动过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程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热负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荷不均匀，同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时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有利于点燃后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续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投入的燃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器点燃，整台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锅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炉改造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对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角的两台磨煤机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对应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的所有燃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烧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器。</w:t>
            </w:r>
          </w:p>
        </w:tc>
        <w:tc>
          <w:tcPr>
            <w:tcW w:w="4673" w:type="dxa"/>
          </w:tcPr>
          <w:p w:rsidR="002D655F" w:rsidRDefault="002D655F" w:rsidP="00283D58"/>
        </w:tc>
      </w:tr>
      <w:tr w:rsidR="002D655F" w:rsidRPr="00AE6549" w:rsidTr="00283D58">
        <w:tc>
          <w:tcPr>
            <w:tcW w:w="4672" w:type="dxa"/>
          </w:tcPr>
          <w:p w:rsidR="002D655F" w:rsidRPr="00AE6549" w:rsidRDefault="002D655F" w:rsidP="00283D58">
            <w:pPr>
              <w:spacing w:line="360" w:lineRule="auto"/>
              <w:ind w:firstLineChars="200" w:firstLine="500"/>
              <w:rPr>
                <w:rFonts w:ascii="SimSun" w:hAnsi="SimSun" w:cs="Arial"/>
                <w:spacing w:val="10"/>
                <w:sz w:val="24"/>
                <w:lang w:val="en-US"/>
              </w:rPr>
            </w:pPr>
            <w:proofErr w:type="spellStart"/>
            <w:r>
              <w:rPr>
                <w:rFonts w:ascii="SimSun" w:hAnsi="SimSun" w:cs="Arial" w:hint="eastAsia"/>
                <w:spacing w:val="10"/>
                <w:sz w:val="24"/>
              </w:rPr>
              <w:t>微油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枪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燃油取自炉前燃油系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。在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进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油母管加装减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压稳压阀组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。母油管减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压稳压阀组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后端装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设</w:t>
            </w:r>
            <w:proofErr w:type="spellEnd"/>
            <w:r>
              <w:rPr>
                <w:rFonts w:ascii="SimSun" w:hAnsi="SimSun" w:cs="Arial" w:hint="eastAsia"/>
                <w:spacing w:val="10"/>
                <w:sz w:val="24"/>
              </w:rPr>
              <w:t>3051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力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变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送器，将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调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整后的油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压值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送</w:t>
            </w:r>
            <w:proofErr w:type="spellEnd"/>
            <w:r>
              <w:rPr>
                <w:rFonts w:ascii="SimSun" w:hAnsi="SimSun" w:cs="Arial" w:hint="eastAsia"/>
                <w:spacing w:val="10"/>
                <w:sz w:val="24"/>
              </w:rPr>
              <w:t>DCS</w:t>
            </w:r>
            <w:r>
              <w:rPr>
                <w:rFonts w:ascii="SimSun" w:hAnsi="SimSun" w:cs="Arial" w:hint="eastAsia"/>
                <w:spacing w:val="10"/>
                <w:sz w:val="24"/>
              </w:rPr>
              <w:t>以便运行人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员调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整。小油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枪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油系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回油母管接至厂用燃油系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母管的速断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阀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后端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hAnsi="SimSun" w:cs="Arial" w:hint="eastAsia"/>
                <w:spacing w:val="10"/>
                <w:sz w:val="24"/>
              </w:rPr>
              <w:t>既能保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证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小油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枪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油系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统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的可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调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性和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稳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定性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hAnsi="SimSun" w:cs="Arial" w:hint="eastAsia"/>
                <w:spacing w:val="10"/>
                <w:sz w:val="24"/>
              </w:rPr>
              <w:t>又可以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满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足大油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枪层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的油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</w:t>
            </w:r>
            <w:r>
              <w:rPr>
                <w:rFonts w:ascii="MS Gothic" w:eastAsia="MS Gothic" w:hAnsi="MS Gothic" w:cs="MS Gothic" w:hint="eastAsia"/>
                <w:spacing w:val="10"/>
                <w:sz w:val="24"/>
              </w:rPr>
              <w:t>要求。微油点火所需的油</w:t>
            </w:r>
            <w:r>
              <w:rPr>
                <w:rFonts w:ascii="Microsoft JhengHei" w:eastAsia="Microsoft JhengHei" w:hAnsi="Microsoft JhengHei" w:cs="Microsoft JhengHei" w:hint="eastAsia"/>
                <w:spacing w:val="10"/>
                <w:sz w:val="24"/>
              </w:rPr>
              <w:t>压为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：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0.8</w:t>
            </w:r>
            <w:r>
              <w:rPr>
                <w:rFonts w:ascii="SimSun" w:hAnsi="SimSun" w:cs="Arial" w:hint="eastAsia"/>
                <w:spacing w:val="10"/>
                <w:sz w:val="24"/>
              </w:rPr>
              <w:t>～</w:t>
            </w:r>
            <w:r w:rsidRPr="00AE6549">
              <w:rPr>
                <w:rFonts w:ascii="SimSun" w:hAnsi="SimSun" w:cs="Arial" w:hint="eastAsia"/>
                <w:spacing w:val="10"/>
                <w:sz w:val="24"/>
                <w:lang w:val="en-US"/>
              </w:rPr>
              <w:t>1.5MPa</w:t>
            </w:r>
            <w:r>
              <w:rPr>
                <w:rFonts w:ascii="SimSun" w:hAnsi="SimSun" w:cs="Arial" w:hint="eastAsia"/>
                <w:spacing w:val="10"/>
                <w:sz w:val="24"/>
              </w:rPr>
              <w:t>。</w:t>
            </w:r>
          </w:p>
        </w:tc>
        <w:tc>
          <w:tcPr>
            <w:tcW w:w="4673" w:type="dxa"/>
          </w:tcPr>
          <w:p w:rsidR="002D655F" w:rsidRPr="00AE6549" w:rsidRDefault="002D655F" w:rsidP="00283D58"/>
        </w:tc>
      </w:tr>
      <w:tr w:rsidR="002D655F" w:rsidRPr="00AE6549" w:rsidTr="00283D58">
        <w:tc>
          <w:tcPr>
            <w:tcW w:w="4672" w:type="dxa"/>
          </w:tcPr>
          <w:p w:rsidR="002D655F" w:rsidRPr="00AE6549" w:rsidRDefault="002D655F" w:rsidP="00283D58">
            <w:pPr>
              <w:tabs>
                <w:tab w:val="left" w:pos="1260"/>
              </w:tabs>
              <w:spacing w:line="360" w:lineRule="auto"/>
              <w:ind w:firstLineChars="200" w:firstLine="500"/>
              <w:rPr>
                <w:rFonts w:ascii="SimSun" w:eastAsia="SimSun" w:hAnsi="SimSun" w:cs="SimSun"/>
                <w:spacing w:val="10"/>
                <w:sz w:val="24"/>
                <w:lang w:val="en-US"/>
              </w:rPr>
            </w:pPr>
            <w:r>
              <w:rPr>
                <w:rFonts w:ascii="SimSun" w:eastAsia="SimSun" w:hAnsi="SimSun" w:cs="SimSun" w:hint="eastAsia"/>
                <w:spacing w:val="10"/>
                <w:sz w:val="24"/>
              </w:rPr>
              <w:t>机组在点火及低负荷运行期间，锅炉烧油或油煤混烧，因为担心未燃烬的燃油在电除尘器电极上沉积，对电除尘产生破坏，所以锅炉电除尘器无法正常投入，大量烟尘直接排放到大气中，同时烟气中的粉尘对锅炉引风机叶片造成磨损和积灰，造成引风机处理不足。在机组进行微油点火系统改造后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由于燃油量非常微小且燃烬率极高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因此不存在未燃烬的燃油在电除尘电极上沉积的问题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电除尘器可以在锅炉启动及低负荷期间正常投入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这大幅度减少了粉尘的排放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避免了环境污染</w:t>
            </w:r>
            <w:r w:rsidRPr="00AE6549">
              <w:rPr>
                <w:rFonts w:ascii="SimSun" w:eastAsia="SimSun" w:hAnsi="SimSun" w:cs="SimSun" w:hint="eastAsia"/>
                <w:spacing w:val="10"/>
                <w:sz w:val="24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spacing w:val="10"/>
                <w:sz w:val="24"/>
              </w:rPr>
              <w:t>具有显著的社会效益和经济效益。</w:t>
            </w:r>
          </w:p>
          <w:p w:rsidR="002D655F" w:rsidRPr="00AE6549" w:rsidRDefault="002D655F" w:rsidP="00283D58">
            <w:pPr>
              <w:rPr>
                <w:lang w:val="en-US"/>
              </w:rPr>
            </w:pPr>
          </w:p>
        </w:tc>
        <w:tc>
          <w:tcPr>
            <w:tcW w:w="4673" w:type="dxa"/>
          </w:tcPr>
          <w:p w:rsidR="002D655F" w:rsidRPr="00AE6549" w:rsidRDefault="002D655F" w:rsidP="00283D58"/>
        </w:tc>
      </w:tr>
    </w:tbl>
    <w:p w:rsidR="002D655F" w:rsidRPr="00AE6549" w:rsidRDefault="002D655F"/>
    <w:sectPr w:rsidR="002D655F" w:rsidRPr="00AE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49"/>
    <w:rsid w:val="0027167C"/>
    <w:rsid w:val="002D655F"/>
    <w:rsid w:val="00A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6A59E-EFF7-4615-A625-0E0D3F11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Алдатова</dc:creator>
  <cp:keywords/>
  <dc:description/>
  <cp:lastModifiedBy>Пользователь Windows</cp:lastModifiedBy>
  <cp:revision>2</cp:revision>
  <dcterms:created xsi:type="dcterms:W3CDTF">2022-07-12T12:05:00Z</dcterms:created>
  <dcterms:modified xsi:type="dcterms:W3CDTF">2022-07-12T15:10:00Z</dcterms:modified>
</cp:coreProperties>
</file>