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1384"/>
        <w:gridCol w:w="2835"/>
      </w:tblGrid>
      <w:tr w:rsidR="00BF01E3" w:rsidRPr="00884811" w14:paraId="065B577C" w14:textId="77777777" w:rsidTr="006C3E87">
        <w:tc>
          <w:tcPr>
            <w:tcW w:w="1384" w:type="dxa"/>
          </w:tcPr>
          <w:p w14:paraId="1B560EEA" w14:textId="77777777" w:rsidR="00BF01E3" w:rsidRPr="00884811" w:rsidRDefault="00BF01E3" w:rsidP="006C3E87">
            <w:pPr>
              <w:rPr>
                <w:rFonts w:ascii="Arial" w:hAnsi="Arial" w:cs="Arial"/>
                <w:b/>
                <w:lang w:val="en-US"/>
              </w:rPr>
            </w:pPr>
            <w:r w:rsidRPr="00884811">
              <w:rPr>
                <w:rFonts w:ascii="Arial" w:hAnsi="Arial" w:cs="Arial"/>
                <w:b/>
                <w:lang w:val="en-US"/>
              </w:rPr>
              <w:t>Full name:</w:t>
            </w:r>
          </w:p>
        </w:tc>
        <w:tc>
          <w:tcPr>
            <w:tcW w:w="2835" w:type="dxa"/>
          </w:tcPr>
          <w:p w14:paraId="4F86EDBD" w14:textId="77777777" w:rsidR="00BF01E3" w:rsidRPr="00884811" w:rsidRDefault="00BF01E3" w:rsidP="006C3E87">
            <w:pPr>
              <w:rPr>
                <w:rFonts w:ascii="Arial" w:hAnsi="Arial" w:cs="Arial"/>
              </w:rPr>
            </w:pPr>
          </w:p>
        </w:tc>
      </w:tr>
      <w:tr w:rsidR="00BF01E3" w:rsidRPr="00884811" w14:paraId="244CC7D7" w14:textId="77777777" w:rsidTr="006C3E87">
        <w:tc>
          <w:tcPr>
            <w:tcW w:w="1384" w:type="dxa"/>
          </w:tcPr>
          <w:p w14:paraId="7937F221" w14:textId="77777777" w:rsidR="00BF01E3" w:rsidRPr="00884811" w:rsidRDefault="00BF01E3" w:rsidP="006C3E87">
            <w:pPr>
              <w:rPr>
                <w:rFonts w:ascii="Arial" w:hAnsi="Arial" w:cs="Arial"/>
                <w:b/>
                <w:lang w:val="en-US"/>
              </w:rPr>
            </w:pPr>
            <w:r w:rsidRPr="00884811">
              <w:rPr>
                <w:rFonts w:ascii="Arial" w:hAnsi="Arial" w:cs="Arial"/>
                <w:b/>
                <w:lang w:val="en-US"/>
              </w:rPr>
              <w:t>E-mail:</w:t>
            </w:r>
          </w:p>
        </w:tc>
        <w:tc>
          <w:tcPr>
            <w:tcW w:w="2835" w:type="dxa"/>
          </w:tcPr>
          <w:p w14:paraId="7250E421" w14:textId="77777777" w:rsidR="00BF01E3" w:rsidRPr="00884811" w:rsidRDefault="00BF01E3" w:rsidP="006C3E87">
            <w:pPr>
              <w:rPr>
                <w:rFonts w:ascii="Arial" w:hAnsi="Arial" w:cs="Arial"/>
              </w:rPr>
            </w:pPr>
          </w:p>
        </w:tc>
      </w:tr>
      <w:tr w:rsidR="00BF01E3" w:rsidRPr="00884811" w14:paraId="63BBB0E8" w14:textId="77777777" w:rsidTr="006C3E87">
        <w:tc>
          <w:tcPr>
            <w:tcW w:w="1384" w:type="dxa"/>
          </w:tcPr>
          <w:p w14:paraId="309B54B4" w14:textId="77777777" w:rsidR="00BF01E3" w:rsidRPr="00884811" w:rsidRDefault="00BF01E3" w:rsidP="006C3E87">
            <w:pPr>
              <w:rPr>
                <w:rFonts w:ascii="Arial" w:hAnsi="Arial" w:cs="Arial"/>
                <w:b/>
                <w:lang w:val="en-US"/>
              </w:rPr>
            </w:pPr>
            <w:r w:rsidRPr="00884811">
              <w:rPr>
                <w:rFonts w:ascii="Arial" w:hAnsi="Arial" w:cs="Arial"/>
                <w:b/>
                <w:lang w:val="en-US"/>
              </w:rPr>
              <w:t>Tel.:</w:t>
            </w:r>
          </w:p>
        </w:tc>
        <w:tc>
          <w:tcPr>
            <w:tcW w:w="2835" w:type="dxa"/>
          </w:tcPr>
          <w:p w14:paraId="520D4FD0" w14:textId="77777777" w:rsidR="00BF01E3" w:rsidRPr="00884811" w:rsidRDefault="00BF01E3" w:rsidP="006C3E87">
            <w:pPr>
              <w:rPr>
                <w:rFonts w:ascii="Arial" w:hAnsi="Arial" w:cs="Arial"/>
              </w:rPr>
            </w:pPr>
          </w:p>
        </w:tc>
      </w:tr>
    </w:tbl>
    <w:p w14:paraId="327EA606" w14:textId="77777777" w:rsidR="00BF01E3" w:rsidRDefault="00BF01E3" w:rsidP="00BF01E3"/>
    <w:p w14:paraId="579832DF" w14:textId="77777777" w:rsidR="004B2CE9" w:rsidRPr="007021FD" w:rsidRDefault="00BF01E3" w:rsidP="004B2CE9">
      <w:pPr>
        <w:rPr>
          <w:rFonts w:ascii="Arial" w:hAnsi="Arial" w:cs="Arial"/>
        </w:rPr>
      </w:pPr>
      <w:r>
        <w:rPr>
          <w:rFonts w:ascii="Arial" w:hAnsi="Arial" w:cs="Arial"/>
        </w:rPr>
        <w:t>Переведите текст из колонки «Оригинал» и внесите результат в колонку «Перевод».</w:t>
      </w:r>
      <w:r w:rsidR="004B2CE9">
        <w:rPr>
          <w:rFonts w:ascii="Arial" w:hAnsi="Arial" w:cs="Arial"/>
        </w:rPr>
        <w:t xml:space="preserve"> </w:t>
      </w:r>
      <w:r w:rsidR="004B2CE9">
        <w:rPr>
          <w:rFonts w:ascii="Arial" w:hAnsi="Arial" w:cs="Arial"/>
        </w:rPr>
        <w:t xml:space="preserve">В готовом задании впишите вашу фамилию </w:t>
      </w:r>
      <w:r w:rsidR="004B2CE9">
        <w:rPr>
          <w:rFonts w:ascii="Arial" w:hAnsi="Arial" w:cs="Arial"/>
          <w:b/>
        </w:rPr>
        <w:t>перед названием</w:t>
      </w:r>
      <w:r w:rsidR="004B2CE9">
        <w:rPr>
          <w:rFonts w:ascii="Arial" w:hAnsi="Arial" w:cs="Arial"/>
        </w:rPr>
        <w:t xml:space="preserve"> теста.</w:t>
      </w:r>
    </w:p>
    <w:p w14:paraId="3FB403AE" w14:textId="04E48C87" w:rsidR="00BF01E3" w:rsidRPr="007021FD" w:rsidRDefault="00BF01E3" w:rsidP="00BF01E3">
      <w:pPr>
        <w:rPr>
          <w:rFonts w:ascii="Arial" w:hAnsi="Arial" w:cs="Arial"/>
        </w:rPr>
      </w:pPr>
    </w:p>
    <w:tbl>
      <w:tblPr>
        <w:tblStyle w:val="a3"/>
        <w:tblW w:w="0" w:type="auto"/>
        <w:tblLook w:val="04A0" w:firstRow="1" w:lastRow="0" w:firstColumn="1" w:lastColumn="0" w:noHBand="0" w:noVBand="1"/>
      </w:tblPr>
      <w:tblGrid>
        <w:gridCol w:w="4785"/>
        <w:gridCol w:w="4786"/>
      </w:tblGrid>
      <w:tr w:rsidR="00BF01E3" w14:paraId="42A12DCB" w14:textId="77777777" w:rsidTr="006C3E87">
        <w:tc>
          <w:tcPr>
            <w:tcW w:w="4785" w:type="dxa"/>
          </w:tcPr>
          <w:p w14:paraId="77FDF955" w14:textId="77777777" w:rsidR="00BF01E3" w:rsidRPr="00884811" w:rsidRDefault="00BF01E3" w:rsidP="006C3E87">
            <w:pPr>
              <w:rPr>
                <w:rFonts w:ascii="Arial" w:hAnsi="Arial" w:cs="Arial"/>
                <w:b/>
              </w:rPr>
            </w:pPr>
            <w:r w:rsidRPr="00884811">
              <w:rPr>
                <w:rFonts w:ascii="Arial" w:hAnsi="Arial" w:cs="Arial"/>
                <w:b/>
              </w:rPr>
              <w:t>Оригинал</w:t>
            </w:r>
          </w:p>
        </w:tc>
        <w:tc>
          <w:tcPr>
            <w:tcW w:w="4786" w:type="dxa"/>
          </w:tcPr>
          <w:p w14:paraId="65532AE3" w14:textId="77777777" w:rsidR="00BF01E3" w:rsidRPr="00884811" w:rsidRDefault="00BF01E3" w:rsidP="006C3E87">
            <w:pPr>
              <w:rPr>
                <w:rFonts w:ascii="Arial" w:hAnsi="Arial" w:cs="Arial"/>
                <w:b/>
              </w:rPr>
            </w:pPr>
            <w:r w:rsidRPr="00884811">
              <w:rPr>
                <w:rFonts w:ascii="Arial" w:hAnsi="Arial" w:cs="Arial"/>
                <w:b/>
              </w:rPr>
              <w:t>Перевод</w:t>
            </w:r>
          </w:p>
        </w:tc>
      </w:tr>
      <w:tr w:rsidR="00BF01E3" w:rsidRPr="004B2CE9" w14:paraId="1E8231A0" w14:textId="77777777" w:rsidTr="006C3E87">
        <w:trPr>
          <w:trHeight w:val="265"/>
        </w:trPr>
        <w:tc>
          <w:tcPr>
            <w:tcW w:w="4785" w:type="dxa"/>
          </w:tcPr>
          <w:p w14:paraId="3C668ABB" w14:textId="77777777" w:rsidR="00BF01E3" w:rsidRPr="00BF01E3" w:rsidRDefault="00BF01E3" w:rsidP="006C3E87">
            <w:pPr>
              <w:jc w:val="both"/>
              <w:rPr>
                <w:rFonts w:ascii="Arial" w:hAnsi="Arial" w:cs="Arial"/>
                <w:lang w:val="fr-FR"/>
              </w:rPr>
            </w:pPr>
            <w:r w:rsidRPr="007C7143">
              <w:rPr>
                <w:szCs w:val="24"/>
                <w:lang w:val="fr-FR"/>
              </w:rPr>
              <w:t xml:space="preserve">Pour </w:t>
            </w:r>
            <w:r w:rsidRPr="007C7143">
              <w:rPr>
                <w:rStyle w:val="a4"/>
                <w:szCs w:val="24"/>
                <w:lang w:val="fr-FR"/>
              </w:rPr>
              <w:t>vérifier la santé d'une entreprise</w:t>
            </w:r>
            <w:r w:rsidRPr="007C7143">
              <w:rPr>
                <w:szCs w:val="24"/>
                <w:lang w:val="fr-FR"/>
              </w:rPr>
              <w:t xml:space="preserve">, toute personne peut demander au greffe du Tribunal de commerce un </w:t>
            </w:r>
            <w:r w:rsidRPr="007C7143">
              <w:rPr>
                <w:rStyle w:val="a4"/>
                <w:szCs w:val="24"/>
                <w:lang w:val="fr-FR"/>
              </w:rPr>
              <w:t>état d'endettement</w:t>
            </w:r>
            <w:r w:rsidRPr="007C7143">
              <w:rPr>
                <w:szCs w:val="24"/>
                <w:lang w:val="fr-FR"/>
              </w:rPr>
              <w:t>, qui récapitule les inscriptions de privilèges et nantissements, ainsi que les inscriptions prises pour révéler l'existence d'un droit de propriété (opérations de crédit-bail, contrats de location, clauses de réserve de propriété) ou celle d'un impayé (exemple : protêts*).</w:t>
            </w:r>
          </w:p>
        </w:tc>
        <w:tc>
          <w:tcPr>
            <w:tcW w:w="4786" w:type="dxa"/>
          </w:tcPr>
          <w:p w14:paraId="44E4F46F" w14:textId="77777777" w:rsidR="00BF01E3" w:rsidRPr="00BF01E3" w:rsidRDefault="00BF01E3" w:rsidP="006C3E87">
            <w:pPr>
              <w:rPr>
                <w:rFonts w:ascii="Arial" w:hAnsi="Arial" w:cs="Arial"/>
                <w:lang w:val="fr-FR"/>
              </w:rPr>
            </w:pPr>
          </w:p>
        </w:tc>
      </w:tr>
      <w:tr w:rsidR="00BF01E3" w:rsidRPr="004B2CE9" w14:paraId="17117917" w14:textId="77777777" w:rsidTr="006C3E87">
        <w:trPr>
          <w:trHeight w:val="265"/>
        </w:trPr>
        <w:tc>
          <w:tcPr>
            <w:tcW w:w="4785" w:type="dxa"/>
          </w:tcPr>
          <w:p w14:paraId="03B67ECD" w14:textId="77777777" w:rsidR="00BF01E3" w:rsidRPr="007C7143" w:rsidRDefault="00BF01E3" w:rsidP="00BF01E3">
            <w:pPr>
              <w:ind w:firstLine="567"/>
              <w:jc w:val="both"/>
              <w:rPr>
                <w:szCs w:val="24"/>
                <w:lang w:val="fr-FR"/>
              </w:rPr>
            </w:pPr>
            <w:r w:rsidRPr="007C7143">
              <w:rPr>
                <w:szCs w:val="24"/>
                <w:lang w:val="fr-FR"/>
              </w:rPr>
              <w:t>Cet état d'endettement est indicateur essentiel de la santé financière de l'entreprise.</w:t>
            </w:r>
          </w:p>
          <w:p w14:paraId="0B2B3061" w14:textId="77777777" w:rsidR="00BF01E3" w:rsidRPr="007C7143" w:rsidRDefault="00BF01E3" w:rsidP="00BF01E3">
            <w:pPr>
              <w:pStyle w:val="a5"/>
              <w:numPr>
                <w:ilvl w:val="0"/>
                <w:numId w:val="1"/>
              </w:numPr>
              <w:ind w:left="0" w:firstLine="0"/>
              <w:jc w:val="both"/>
              <w:rPr>
                <w:rStyle w:val="a4"/>
                <w:szCs w:val="24"/>
                <w:lang w:val="fr-FR"/>
              </w:rPr>
            </w:pPr>
            <w:r w:rsidRPr="007C7143">
              <w:rPr>
                <w:szCs w:val="24"/>
                <w:lang w:val="fr-FR"/>
              </w:rPr>
              <w:t xml:space="preserve">L'inscription d'un nantissement (sur le fonds de commerce ou les parts d'une société civile) accorde également à un créancier </w:t>
            </w:r>
            <w:r w:rsidRPr="007C7143">
              <w:rPr>
                <w:rStyle w:val="a4"/>
                <w:szCs w:val="24"/>
                <w:lang w:val="fr-FR"/>
              </w:rPr>
              <w:t>un droit de préférence sur certains biens affectés prioritairement au paiement de la dette.</w:t>
            </w:r>
          </w:p>
          <w:p w14:paraId="12EBABAB" w14:textId="77777777" w:rsidR="00BF01E3" w:rsidRPr="00BF01E3" w:rsidRDefault="00BF01E3" w:rsidP="006C3E87">
            <w:pPr>
              <w:pStyle w:val="a5"/>
              <w:numPr>
                <w:ilvl w:val="0"/>
                <w:numId w:val="1"/>
              </w:numPr>
              <w:ind w:left="0" w:firstLine="0"/>
              <w:jc w:val="both"/>
              <w:rPr>
                <w:szCs w:val="24"/>
                <w:lang w:val="fr-FR"/>
              </w:rPr>
            </w:pPr>
            <w:r w:rsidRPr="007C7143">
              <w:rPr>
                <w:szCs w:val="24"/>
                <w:lang w:val="fr-FR"/>
              </w:rPr>
              <w:t xml:space="preserve">L'inscription d'un </w:t>
            </w:r>
            <w:r w:rsidRPr="007C7143">
              <w:rPr>
                <w:rStyle w:val="a4"/>
                <w:szCs w:val="24"/>
                <w:lang w:val="fr-FR"/>
              </w:rPr>
              <w:t xml:space="preserve">privilège </w:t>
            </w:r>
            <w:r w:rsidRPr="007C7143">
              <w:rPr>
                <w:szCs w:val="24"/>
                <w:lang w:val="fr-FR"/>
              </w:rPr>
              <w:t xml:space="preserve">au greffe du Tribunal de commerce donne à </w:t>
            </w:r>
            <w:r w:rsidRPr="007C7143">
              <w:rPr>
                <w:rStyle w:val="a4"/>
                <w:szCs w:val="24"/>
                <w:lang w:val="fr-FR"/>
              </w:rPr>
              <w:t>un créancier le droit d'être préféré aux autres</w:t>
            </w:r>
            <w:r w:rsidRPr="007C7143">
              <w:rPr>
                <w:szCs w:val="24"/>
                <w:lang w:val="fr-FR"/>
              </w:rPr>
              <w:t>, sur l'ensemble des biens (meubles ou immeubles) de son débiteur, ou sur certains d'entre eux seulement.</w:t>
            </w:r>
          </w:p>
        </w:tc>
        <w:tc>
          <w:tcPr>
            <w:tcW w:w="4786" w:type="dxa"/>
          </w:tcPr>
          <w:p w14:paraId="76257BF6" w14:textId="77777777" w:rsidR="00BF01E3" w:rsidRPr="00BF01E3" w:rsidRDefault="00BF01E3" w:rsidP="006C3E87">
            <w:pPr>
              <w:rPr>
                <w:rFonts w:ascii="Arial" w:hAnsi="Arial" w:cs="Arial"/>
                <w:lang w:val="fr-FR"/>
              </w:rPr>
            </w:pPr>
          </w:p>
        </w:tc>
      </w:tr>
      <w:tr w:rsidR="00BF01E3" w:rsidRPr="004B2CE9" w14:paraId="4871FF9F" w14:textId="77777777" w:rsidTr="006C3E87">
        <w:trPr>
          <w:trHeight w:val="265"/>
        </w:trPr>
        <w:tc>
          <w:tcPr>
            <w:tcW w:w="4785" w:type="dxa"/>
          </w:tcPr>
          <w:p w14:paraId="145F306A" w14:textId="77777777" w:rsidR="00BF01E3" w:rsidRPr="00BF01E3" w:rsidRDefault="00BF01E3" w:rsidP="00BF01E3">
            <w:pPr>
              <w:ind w:firstLine="567"/>
              <w:jc w:val="both"/>
              <w:rPr>
                <w:b/>
                <w:bCs/>
                <w:szCs w:val="24"/>
                <w:lang w:val="fr-FR"/>
              </w:rPr>
            </w:pPr>
            <w:r w:rsidRPr="007C7143">
              <w:rPr>
                <w:szCs w:val="24"/>
                <w:lang w:val="fr-FR"/>
              </w:rPr>
              <w:t xml:space="preserve">Les inscriptions de gage sans dépossession ne sont pas présentées sur l'état d'endettement. Si vous désirez rechercher l'existence d'inscriptions de </w:t>
            </w:r>
            <w:r w:rsidRPr="007C7143">
              <w:rPr>
                <w:rStyle w:val="a4"/>
                <w:szCs w:val="24"/>
                <w:lang w:val="fr-FR"/>
              </w:rPr>
              <w:t>gage sans dépossession</w:t>
            </w:r>
            <w:r w:rsidRPr="007C7143">
              <w:rPr>
                <w:szCs w:val="24"/>
                <w:lang w:val="fr-FR"/>
              </w:rPr>
              <w:t xml:space="preserve"> sur cette entreprise nous vous invitons à effectuer une recherche sur le fichier national.</w:t>
            </w:r>
          </w:p>
        </w:tc>
        <w:tc>
          <w:tcPr>
            <w:tcW w:w="4786" w:type="dxa"/>
          </w:tcPr>
          <w:p w14:paraId="22D109CF" w14:textId="77777777" w:rsidR="00BF01E3" w:rsidRPr="00BF01E3" w:rsidRDefault="00BF01E3" w:rsidP="006C3E87">
            <w:pPr>
              <w:rPr>
                <w:rFonts w:ascii="Arial" w:hAnsi="Arial" w:cs="Arial"/>
                <w:lang w:val="fr-FR"/>
              </w:rPr>
            </w:pPr>
          </w:p>
        </w:tc>
      </w:tr>
      <w:tr w:rsidR="00BF01E3" w:rsidRPr="004B2CE9" w14:paraId="55ED7D40" w14:textId="77777777" w:rsidTr="006C3E87">
        <w:trPr>
          <w:trHeight w:val="265"/>
        </w:trPr>
        <w:tc>
          <w:tcPr>
            <w:tcW w:w="4785" w:type="dxa"/>
          </w:tcPr>
          <w:p w14:paraId="58686428" w14:textId="77777777" w:rsidR="00BF01E3" w:rsidRPr="00BF01E3" w:rsidRDefault="00BF01E3" w:rsidP="00BF01E3">
            <w:pPr>
              <w:ind w:firstLine="567"/>
              <w:jc w:val="both"/>
              <w:rPr>
                <w:szCs w:val="24"/>
                <w:lang w:val="fr-FR"/>
              </w:rPr>
            </w:pPr>
            <w:r w:rsidRPr="007C7143">
              <w:rPr>
                <w:rStyle w:val="a4"/>
                <w:szCs w:val="24"/>
                <w:lang w:val="fr-FR"/>
              </w:rPr>
              <w:t>À noter:</w:t>
            </w:r>
            <w:r w:rsidRPr="007C7143">
              <w:rPr>
                <w:szCs w:val="24"/>
                <w:lang w:val="fr-FR"/>
              </w:rPr>
              <w:t xml:space="preserve"> Le nantissement du fonds de commerce n'implique pas la dépossession par le débiteur et ne lui retire pas la possibilité de vendre son fonds (le créancier ayant un droit de préférence et un droit de suite).</w:t>
            </w:r>
          </w:p>
        </w:tc>
        <w:tc>
          <w:tcPr>
            <w:tcW w:w="4786" w:type="dxa"/>
          </w:tcPr>
          <w:p w14:paraId="37D733DD" w14:textId="77777777" w:rsidR="00BF01E3" w:rsidRPr="00BF01E3" w:rsidRDefault="00BF01E3" w:rsidP="006C3E87">
            <w:pPr>
              <w:rPr>
                <w:rFonts w:ascii="Arial" w:hAnsi="Arial" w:cs="Arial"/>
                <w:lang w:val="fr-FR"/>
              </w:rPr>
            </w:pPr>
          </w:p>
        </w:tc>
      </w:tr>
      <w:tr w:rsidR="00BF01E3" w:rsidRPr="004B2CE9" w14:paraId="040DE229" w14:textId="77777777" w:rsidTr="006C3E87">
        <w:trPr>
          <w:trHeight w:val="265"/>
        </w:trPr>
        <w:tc>
          <w:tcPr>
            <w:tcW w:w="4785" w:type="dxa"/>
          </w:tcPr>
          <w:p w14:paraId="12EAE388" w14:textId="77777777" w:rsidR="00BF01E3" w:rsidRPr="00BF01E3" w:rsidRDefault="00BF01E3" w:rsidP="00BF01E3">
            <w:pPr>
              <w:ind w:firstLine="567"/>
              <w:jc w:val="both"/>
              <w:rPr>
                <w:rStyle w:val="a4"/>
                <w:b w:val="0"/>
                <w:bCs w:val="0"/>
                <w:szCs w:val="24"/>
                <w:lang w:val="fr-FR"/>
              </w:rPr>
            </w:pPr>
            <w:r w:rsidRPr="007C7143">
              <w:rPr>
                <w:szCs w:val="24"/>
                <w:lang w:val="fr-FR"/>
              </w:rPr>
              <w:t>Pour tout savoir sur les formalités relatives aux privilèges et nantissements, référez-vous à la rubrique au guide des formalités (Formalités d'inscription et de radiation).</w:t>
            </w:r>
          </w:p>
        </w:tc>
        <w:tc>
          <w:tcPr>
            <w:tcW w:w="4786" w:type="dxa"/>
          </w:tcPr>
          <w:p w14:paraId="5827A5BB" w14:textId="77777777" w:rsidR="00BF01E3" w:rsidRPr="00BF01E3" w:rsidRDefault="00BF01E3" w:rsidP="006C3E87">
            <w:pPr>
              <w:rPr>
                <w:rFonts w:ascii="Arial" w:hAnsi="Arial" w:cs="Arial"/>
                <w:lang w:val="fr-FR"/>
              </w:rPr>
            </w:pPr>
          </w:p>
        </w:tc>
      </w:tr>
      <w:tr w:rsidR="00BF01E3" w:rsidRPr="004B2CE9" w14:paraId="0DE7AE83" w14:textId="77777777" w:rsidTr="006C3E87">
        <w:trPr>
          <w:trHeight w:val="265"/>
        </w:trPr>
        <w:tc>
          <w:tcPr>
            <w:tcW w:w="4785" w:type="dxa"/>
          </w:tcPr>
          <w:p w14:paraId="23A9EF9A" w14:textId="77777777" w:rsidR="00BF01E3" w:rsidRPr="007C7143" w:rsidRDefault="00BF01E3" w:rsidP="00BF01E3">
            <w:pPr>
              <w:ind w:firstLine="567"/>
              <w:jc w:val="both"/>
              <w:rPr>
                <w:szCs w:val="24"/>
                <w:lang w:val="fr-FR"/>
              </w:rPr>
            </w:pPr>
            <w:r w:rsidRPr="007C7143">
              <w:rPr>
                <w:rStyle w:val="a6"/>
                <w:szCs w:val="24"/>
                <w:lang w:val="fr-FR"/>
              </w:rPr>
              <w:t>*Protêt. Acte authentique, dressé par un huissier ou un notaire, et à la demande du porteur d'un effet de commerce, afin de constater officiellement soit le non-paiement à l'échéance de l'effet, soit le refus d'acceptation d'une traite.</w:t>
            </w:r>
          </w:p>
        </w:tc>
        <w:tc>
          <w:tcPr>
            <w:tcW w:w="4786" w:type="dxa"/>
          </w:tcPr>
          <w:p w14:paraId="49599CF8" w14:textId="77777777" w:rsidR="00BF01E3" w:rsidRPr="00BF01E3" w:rsidRDefault="00BF01E3" w:rsidP="006C3E87">
            <w:pPr>
              <w:rPr>
                <w:rFonts w:ascii="Arial" w:hAnsi="Arial" w:cs="Arial"/>
                <w:lang w:val="fr-FR"/>
              </w:rPr>
            </w:pPr>
          </w:p>
        </w:tc>
      </w:tr>
    </w:tbl>
    <w:p w14:paraId="0C1E97F5" w14:textId="77777777" w:rsidR="00BF01E3" w:rsidRPr="00BF01E3" w:rsidRDefault="00BF01E3" w:rsidP="00BF01E3">
      <w:pPr>
        <w:rPr>
          <w:rFonts w:ascii="Arial" w:hAnsi="Arial" w:cs="Arial"/>
          <w:lang w:val="fr-FR"/>
        </w:rPr>
      </w:pPr>
    </w:p>
    <w:p w14:paraId="0CB8469B" w14:textId="77777777" w:rsidR="00BF01E3" w:rsidRPr="007021FD" w:rsidRDefault="00BF01E3" w:rsidP="00BF01E3">
      <w:pPr>
        <w:spacing w:after="0"/>
        <w:rPr>
          <w:rFonts w:ascii="Arial" w:hAnsi="Arial" w:cs="Arial"/>
          <w:b/>
        </w:rPr>
      </w:pPr>
      <w:r>
        <w:rPr>
          <w:rFonts w:ascii="Arial" w:hAnsi="Arial" w:cs="Arial"/>
          <w:b/>
        </w:rPr>
        <w:lastRenderedPageBreak/>
        <w:t xml:space="preserve">Тестовые задания не рецензируются, не оплачиваются и не используются в коммерческих целях. Правильные варианты переводов не предоставляются. </w:t>
      </w:r>
    </w:p>
    <w:p w14:paraId="14796F6B" w14:textId="77777777" w:rsidR="00D477CE" w:rsidRPr="00BF01E3" w:rsidRDefault="00D477CE">
      <w:pPr>
        <w:rPr>
          <w:lang w:val="en-US"/>
        </w:rPr>
      </w:pPr>
    </w:p>
    <w:sectPr w:rsidR="00D477CE" w:rsidRPr="00BF0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31873"/>
    <w:multiLevelType w:val="hybridMultilevel"/>
    <w:tmpl w:val="295AD4B6"/>
    <w:lvl w:ilvl="0" w:tplc="D7D830B0">
      <w:numFmt w:val="bullet"/>
      <w:lvlText w:val="•"/>
      <w:lvlJc w:val="left"/>
      <w:pPr>
        <w:ind w:left="1272" w:hanging="705"/>
      </w:pPr>
      <w:rPr>
        <w:rFonts w:ascii="Calibri" w:eastAsiaTheme="minorHAnsi" w:hAnsi="Calibri" w:cstheme="minorBidi"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1E3"/>
    <w:rsid w:val="004B2CE9"/>
    <w:rsid w:val="00BF01E3"/>
    <w:rsid w:val="00D477C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23A6"/>
  <w15:docId w15:val="{5CD39A25-11B3-41AC-99CF-C0779282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1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0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BF01E3"/>
    <w:rPr>
      <w:b/>
      <w:bCs/>
    </w:rPr>
  </w:style>
  <w:style w:type="paragraph" w:styleId="a5">
    <w:name w:val="List Paragraph"/>
    <w:basedOn w:val="a"/>
    <w:uiPriority w:val="34"/>
    <w:qFormat/>
    <w:rsid w:val="00BF01E3"/>
    <w:pPr>
      <w:ind w:left="720"/>
      <w:contextualSpacing/>
    </w:pPr>
    <w:rPr>
      <w:lang w:val="fr-CA"/>
    </w:rPr>
  </w:style>
  <w:style w:type="character" w:styleId="a6">
    <w:name w:val="Emphasis"/>
    <w:basedOn w:val="a0"/>
    <w:uiPriority w:val="20"/>
    <w:qFormat/>
    <w:rsid w:val="00BF01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2411F-8219-478F-B3C0-B22BC186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323</Words>
  <Characters>1845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Воронина</dc:creator>
  <cp:lastModifiedBy>a.brovchenko</cp:lastModifiedBy>
  <cp:revision>2</cp:revision>
  <dcterms:created xsi:type="dcterms:W3CDTF">2016-02-03T10:20:00Z</dcterms:created>
  <dcterms:modified xsi:type="dcterms:W3CDTF">2021-02-25T13:09:00Z</dcterms:modified>
</cp:coreProperties>
</file>